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EE5" w:rsidRPr="008F379C" w:rsidRDefault="0027707E" w:rsidP="008F379C">
      <w:pPr>
        <w:spacing w:after="0" w:line="480" w:lineRule="auto"/>
        <w:contextualSpacing/>
        <w:jc w:val="center"/>
        <w:rPr>
          <w:rFonts w:ascii="Times New Roman" w:hAnsi="Times New Roman" w:cs="Times New Roman"/>
          <w:sz w:val="24"/>
          <w:szCs w:val="24"/>
        </w:rPr>
      </w:pPr>
      <w:r w:rsidRPr="008F379C">
        <w:rPr>
          <w:rFonts w:ascii="Times New Roman" w:hAnsi="Times New Roman" w:cs="Times New Roman"/>
          <w:sz w:val="24"/>
          <w:szCs w:val="24"/>
        </w:rPr>
        <w:t>Disparities at Adjudication in the Juvenile Justice System:</w:t>
      </w:r>
    </w:p>
    <w:p w:rsidR="004A3920" w:rsidRPr="008F379C" w:rsidRDefault="0027707E" w:rsidP="008F379C">
      <w:pPr>
        <w:spacing w:after="0" w:line="480" w:lineRule="auto"/>
        <w:contextualSpacing/>
        <w:jc w:val="center"/>
        <w:rPr>
          <w:rFonts w:ascii="Times New Roman" w:hAnsi="Times New Roman" w:cs="Times New Roman"/>
          <w:sz w:val="24"/>
          <w:szCs w:val="24"/>
          <w:shd w:val="clear" w:color="auto" w:fill="FFFFFF"/>
        </w:rPr>
      </w:pPr>
      <w:r w:rsidRPr="008F379C">
        <w:rPr>
          <w:rFonts w:ascii="Times New Roman" w:hAnsi="Times New Roman" w:cs="Times New Roman"/>
          <w:sz w:val="24"/>
          <w:szCs w:val="24"/>
          <w:shd w:val="clear" w:color="auto" w:fill="FFFFFF"/>
        </w:rPr>
        <w:t>Name</w:t>
      </w:r>
    </w:p>
    <w:p w:rsidR="00E83D63" w:rsidRPr="008F379C" w:rsidRDefault="0027707E" w:rsidP="008F379C">
      <w:pPr>
        <w:tabs>
          <w:tab w:val="left" w:pos="1853"/>
          <w:tab w:val="center" w:pos="5040"/>
        </w:tabs>
        <w:spacing w:after="0" w:line="480" w:lineRule="auto"/>
        <w:contextualSpacing/>
        <w:jc w:val="center"/>
        <w:rPr>
          <w:rFonts w:ascii="Times New Roman" w:hAnsi="Times New Roman" w:cs="Times New Roman"/>
          <w:sz w:val="24"/>
          <w:szCs w:val="24"/>
          <w:shd w:val="clear" w:color="auto" w:fill="FFFFFF"/>
        </w:rPr>
      </w:pPr>
      <w:r w:rsidRPr="008F379C">
        <w:rPr>
          <w:rFonts w:ascii="Times New Roman" w:hAnsi="Times New Roman" w:cs="Times New Roman"/>
          <w:sz w:val="24"/>
          <w:szCs w:val="24"/>
          <w:shd w:val="clear" w:color="auto" w:fill="FFFFFF"/>
        </w:rPr>
        <w:t>Institution</w:t>
      </w:r>
    </w:p>
    <w:p w:rsidR="00863967" w:rsidRPr="008F379C" w:rsidRDefault="0027707E" w:rsidP="008F379C">
      <w:pPr>
        <w:spacing w:after="0" w:line="480" w:lineRule="auto"/>
        <w:contextualSpacing/>
        <w:jc w:val="center"/>
        <w:rPr>
          <w:rFonts w:ascii="Times New Roman" w:hAnsi="Times New Roman" w:cs="Times New Roman"/>
          <w:sz w:val="24"/>
          <w:szCs w:val="24"/>
          <w:shd w:val="clear" w:color="auto" w:fill="FFFFFF"/>
        </w:rPr>
      </w:pPr>
      <w:r w:rsidRPr="008F379C">
        <w:rPr>
          <w:rFonts w:ascii="Times New Roman" w:hAnsi="Times New Roman" w:cs="Times New Roman"/>
          <w:sz w:val="24"/>
          <w:szCs w:val="24"/>
          <w:shd w:val="clear" w:color="auto" w:fill="FFFFFF"/>
        </w:rPr>
        <w:t>Course</w:t>
      </w:r>
    </w:p>
    <w:p w:rsidR="004A3920" w:rsidRPr="008F379C" w:rsidRDefault="0027707E" w:rsidP="008F379C">
      <w:pPr>
        <w:spacing w:after="0" w:line="480" w:lineRule="auto"/>
        <w:contextualSpacing/>
        <w:jc w:val="center"/>
        <w:rPr>
          <w:rFonts w:ascii="Times New Roman" w:hAnsi="Times New Roman" w:cs="Times New Roman"/>
          <w:sz w:val="24"/>
          <w:szCs w:val="24"/>
          <w:shd w:val="clear" w:color="auto" w:fill="FFFFFF"/>
        </w:rPr>
      </w:pPr>
      <w:r w:rsidRPr="008F379C">
        <w:rPr>
          <w:rFonts w:ascii="Times New Roman" w:hAnsi="Times New Roman" w:cs="Times New Roman"/>
          <w:sz w:val="24"/>
          <w:szCs w:val="24"/>
          <w:shd w:val="clear" w:color="auto" w:fill="FFFFFF"/>
        </w:rPr>
        <w:t>Date</w:t>
      </w:r>
    </w:p>
    <w:p w:rsidR="004A3920" w:rsidRPr="008F379C" w:rsidRDefault="004A3920" w:rsidP="008F379C">
      <w:pPr>
        <w:spacing w:after="0" w:line="480" w:lineRule="auto"/>
        <w:ind w:firstLine="720"/>
        <w:contextualSpacing/>
        <w:jc w:val="both"/>
        <w:rPr>
          <w:rFonts w:ascii="Times New Roman" w:hAnsi="Times New Roman" w:cs="Times New Roman"/>
          <w:sz w:val="24"/>
          <w:szCs w:val="24"/>
          <w:shd w:val="clear" w:color="auto" w:fill="FFFFFF"/>
        </w:rPr>
      </w:pPr>
    </w:p>
    <w:p w:rsidR="004A3920" w:rsidRPr="008F379C" w:rsidRDefault="004A3920" w:rsidP="008F379C">
      <w:pPr>
        <w:spacing w:after="0" w:line="480" w:lineRule="auto"/>
        <w:ind w:firstLine="720"/>
        <w:contextualSpacing/>
        <w:rPr>
          <w:rFonts w:ascii="Times New Roman" w:hAnsi="Times New Roman" w:cs="Times New Roman"/>
          <w:sz w:val="24"/>
          <w:szCs w:val="24"/>
          <w:shd w:val="clear" w:color="auto" w:fill="FFFFFF"/>
        </w:rPr>
      </w:pPr>
    </w:p>
    <w:p w:rsidR="004A3920" w:rsidRPr="008F379C" w:rsidRDefault="004A3920" w:rsidP="008F379C">
      <w:pPr>
        <w:spacing w:after="0" w:line="480" w:lineRule="auto"/>
        <w:ind w:firstLine="720"/>
        <w:contextualSpacing/>
        <w:rPr>
          <w:rFonts w:ascii="Times New Roman" w:hAnsi="Times New Roman" w:cs="Times New Roman"/>
          <w:sz w:val="24"/>
          <w:szCs w:val="24"/>
          <w:shd w:val="clear" w:color="auto" w:fill="FFFFFF"/>
        </w:rPr>
      </w:pPr>
    </w:p>
    <w:p w:rsidR="004A3920" w:rsidRPr="008F379C" w:rsidRDefault="004A3920" w:rsidP="008F379C">
      <w:pPr>
        <w:spacing w:after="0" w:line="480" w:lineRule="auto"/>
        <w:ind w:firstLine="720"/>
        <w:contextualSpacing/>
        <w:rPr>
          <w:rFonts w:ascii="Times New Roman" w:hAnsi="Times New Roman" w:cs="Times New Roman"/>
          <w:sz w:val="24"/>
          <w:szCs w:val="24"/>
          <w:shd w:val="clear" w:color="auto" w:fill="FFFFFF"/>
        </w:rPr>
      </w:pPr>
    </w:p>
    <w:p w:rsidR="004A3920" w:rsidRPr="008F379C" w:rsidRDefault="004A3920" w:rsidP="008F379C">
      <w:pPr>
        <w:spacing w:after="0" w:line="480" w:lineRule="auto"/>
        <w:ind w:firstLine="720"/>
        <w:contextualSpacing/>
        <w:jc w:val="center"/>
        <w:rPr>
          <w:rFonts w:ascii="Times New Roman" w:hAnsi="Times New Roman" w:cs="Times New Roman"/>
          <w:sz w:val="24"/>
          <w:szCs w:val="24"/>
          <w:shd w:val="clear" w:color="auto" w:fill="FFFFFF"/>
        </w:rPr>
      </w:pPr>
    </w:p>
    <w:p w:rsidR="004A3920" w:rsidRPr="008F379C" w:rsidRDefault="004A3920" w:rsidP="008F379C">
      <w:pPr>
        <w:spacing w:after="0" w:line="480" w:lineRule="auto"/>
        <w:ind w:firstLine="720"/>
        <w:contextualSpacing/>
        <w:jc w:val="center"/>
        <w:rPr>
          <w:rFonts w:ascii="Times New Roman" w:hAnsi="Times New Roman" w:cs="Times New Roman"/>
          <w:sz w:val="24"/>
          <w:szCs w:val="24"/>
          <w:shd w:val="clear" w:color="auto" w:fill="FFFFFF"/>
        </w:rPr>
      </w:pPr>
    </w:p>
    <w:p w:rsidR="004A3920" w:rsidRPr="008F379C" w:rsidRDefault="004A3920" w:rsidP="008F379C">
      <w:pPr>
        <w:spacing w:after="0" w:line="480" w:lineRule="auto"/>
        <w:ind w:firstLine="720"/>
        <w:contextualSpacing/>
        <w:jc w:val="center"/>
        <w:rPr>
          <w:rFonts w:ascii="Times New Roman" w:hAnsi="Times New Roman" w:cs="Times New Roman"/>
          <w:sz w:val="24"/>
          <w:szCs w:val="24"/>
          <w:shd w:val="clear" w:color="auto" w:fill="FFFFFF"/>
        </w:rPr>
      </w:pPr>
    </w:p>
    <w:p w:rsidR="006A7B36" w:rsidRPr="008F379C" w:rsidRDefault="006A7B36" w:rsidP="008F379C">
      <w:pPr>
        <w:spacing w:line="480" w:lineRule="auto"/>
        <w:ind w:firstLine="720"/>
        <w:rPr>
          <w:rFonts w:ascii="Times New Roman" w:hAnsi="Times New Roman" w:cs="Times New Roman"/>
          <w:sz w:val="24"/>
          <w:szCs w:val="24"/>
        </w:rPr>
      </w:pPr>
    </w:p>
    <w:p w:rsidR="00D7461E" w:rsidRPr="008F379C" w:rsidRDefault="0027707E" w:rsidP="008F379C">
      <w:pPr>
        <w:spacing w:line="480" w:lineRule="auto"/>
        <w:rPr>
          <w:rFonts w:ascii="Times New Roman" w:hAnsi="Times New Roman" w:cs="Times New Roman"/>
          <w:sz w:val="24"/>
          <w:szCs w:val="24"/>
        </w:rPr>
      </w:pPr>
      <w:r w:rsidRPr="008F379C">
        <w:rPr>
          <w:rFonts w:ascii="Times New Roman" w:hAnsi="Times New Roman" w:cs="Times New Roman"/>
          <w:sz w:val="24"/>
          <w:szCs w:val="24"/>
        </w:rPr>
        <w:br w:type="page"/>
      </w:r>
    </w:p>
    <w:p w:rsidR="00000EC1" w:rsidRPr="008F379C" w:rsidRDefault="0027707E" w:rsidP="008F379C">
      <w:pPr>
        <w:pStyle w:val="ListParagraph"/>
        <w:numPr>
          <w:ilvl w:val="0"/>
          <w:numId w:val="6"/>
        </w:numPr>
        <w:spacing w:line="480" w:lineRule="auto"/>
        <w:rPr>
          <w:rFonts w:ascii="Times New Roman" w:hAnsi="Times New Roman" w:cs="Times New Roman"/>
          <w:sz w:val="24"/>
          <w:szCs w:val="24"/>
        </w:rPr>
      </w:pPr>
      <w:r w:rsidRPr="008F379C">
        <w:rPr>
          <w:rFonts w:ascii="Times New Roman" w:hAnsi="Times New Roman" w:cs="Times New Roman"/>
          <w:sz w:val="24"/>
          <w:szCs w:val="24"/>
        </w:rPr>
        <w:lastRenderedPageBreak/>
        <w:t>Introduction</w:t>
      </w:r>
    </w:p>
    <w:p w:rsidR="00000EC1" w:rsidRPr="008F379C" w:rsidRDefault="0027707E" w:rsidP="008F379C">
      <w:pPr>
        <w:spacing w:line="480" w:lineRule="auto"/>
        <w:ind w:firstLine="720"/>
        <w:rPr>
          <w:rFonts w:ascii="Times New Roman" w:hAnsi="Times New Roman" w:cs="Times New Roman"/>
          <w:sz w:val="24"/>
          <w:szCs w:val="24"/>
        </w:rPr>
      </w:pPr>
      <w:r w:rsidRPr="008F379C">
        <w:rPr>
          <w:rFonts w:ascii="Times New Roman" w:hAnsi="Times New Roman" w:cs="Times New Roman"/>
          <w:sz w:val="24"/>
          <w:szCs w:val="24"/>
        </w:rPr>
        <w:t>Racial disparities develop with virtually every measure of the juvenile administration system but begin with arrests. Among those juveniles who</w:t>
      </w:r>
      <w:r w:rsidRPr="008F379C">
        <w:rPr>
          <w:rFonts w:ascii="Times New Roman" w:hAnsi="Times New Roman" w:cs="Times New Roman"/>
          <w:sz w:val="24"/>
          <w:szCs w:val="24"/>
        </w:rPr>
        <w:t xml:space="preserve"> are arrested, the black juvenile is more expected to take their causes related to juvenile authorities. Among those instances related to authorizations, colored youth are more likely to get their cases seen (and not diverted pre-adjudication). Among those</w:t>
      </w:r>
      <w:r w:rsidRPr="008F379C">
        <w:rPr>
          <w:rFonts w:ascii="Times New Roman" w:hAnsi="Times New Roman" w:cs="Times New Roman"/>
          <w:sz w:val="24"/>
          <w:szCs w:val="24"/>
        </w:rPr>
        <w:t xml:space="preserve"> instances that are decided, black youth are less likely to have probation and more likely to be devoted to a safe position at the juvenile service. This arrest disparity is the entry to the maze with lesser departures for African American young than their</w:t>
      </w:r>
      <w:r w:rsidRPr="008F379C">
        <w:rPr>
          <w:rFonts w:ascii="Times New Roman" w:hAnsi="Times New Roman" w:cs="Times New Roman"/>
          <w:sz w:val="24"/>
          <w:szCs w:val="24"/>
        </w:rPr>
        <w:t xml:space="preserve"> white peers.</w:t>
      </w:r>
    </w:p>
    <w:p w:rsidR="00000EC1" w:rsidRPr="008F379C" w:rsidRDefault="0027707E" w:rsidP="008F379C">
      <w:pPr>
        <w:spacing w:line="480" w:lineRule="auto"/>
        <w:ind w:firstLine="720"/>
        <w:rPr>
          <w:rFonts w:ascii="Times New Roman" w:hAnsi="Times New Roman" w:cs="Times New Roman"/>
          <w:sz w:val="24"/>
          <w:szCs w:val="24"/>
        </w:rPr>
      </w:pPr>
      <w:r w:rsidRPr="008F379C">
        <w:rPr>
          <w:rFonts w:ascii="Times New Roman" w:hAnsi="Times New Roman" w:cs="Times New Roman"/>
          <w:sz w:val="24"/>
          <w:szCs w:val="24"/>
        </w:rPr>
        <w:t>The most critical phases of the juvenile justice process are referrals (commonly by police</w:t>
      </w:r>
      <w:r w:rsidR="00C81D41" w:rsidRPr="008F379C">
        <w:rPr>
          <w:rFonts w:ascii="Times New Roman" w:hAnsi="Times New Roman" w:cs="Times New Roman"/>
          <w:sz w:val="24"/>
          <w:szCs w:val="24"/>
        </w:rPr>
        <w:t>),</w:t>
      </w:r>
      <w:r w:rsidRPr="008F379C">
        <w:rPr>
          <w:rFonts w:ascii="Times New Roman" w:hAnsi="Times New Roman" w:cs="Times New Roman"/>
          <w:sz w:val="24"/>
          <w:szCs w:val="24"/>
        </w:rPr>
        <w:t xml:space="preserve"> consumption, adjudication, and attitude. Juveniles may be diverted from this activity in any scene by police, probation officers, and authorities. For instance, a juvenile related to the authorities for a small offense may be diverted from the activity or</w:t>
      </w:r>
      <w:r w:rsidRPr="008F379C">
        <w:rPr>
          <w:rFonts w:ascii="Times New Roman" w:hAnsi="Times New Roman" w:cs="Times New Roman"/>
          <w:sz w:val="24"/>
          <w:szCs w:val="24"/>
        </w:rPr>
        <w:t xml:space="preserve"> detained by the intake or probation officer. The juvenile charged of a more severe crime, like assault, is less likely to be diverted. Instead, the juvenile would be officially petitioned to be at juvenile court or tran</w:t>
      </w:r>
      <w:r w:rsidR="0075629D" w:rsidRPr="008F379C">
        <w:rPr>
          <w:rFonts w:ascii="Times New Roman" w:hAnsi="Times New Roman" w:cs="Times New Roman"/>
          <w:sz w:val="24"/>
          <w:szCs w:val="24"/>
        </w:rPr>
        <w:t>sferred (waived) to adult court (Davis, 2017). </w:t>
      </w:r>
    </w:p>
    <w:p w:rsidR="00000EC1" w:rsidRPr="008F379C" w:rsidRDefault="0027707E" w:rsidP="008F379C">
      <w:pPr>
        <w:spacing w:line="480" w:lineRule="auto"/>
        <w:ind w:left="720" w:hanging="720"/>
        <w:rPr>
          <w:rFonts w:ascii="Times New Roman" w:hAnsi="Times New Roman" w:cs="Times New Roman"/>
          <w:i/>
          <w:sz w:val="24"/>
          <w:szCs w:val="24"/>
        </w:rPr>
      </w:pPr>
      <w:r w:rsidRPr="008F379C">
        <w:rPr>
          <w:rFonts w:ascii="Times New Roman" w:hAnsi="Times New Roman" w:cs="Times New Roman"/>
          <w:i/>
          <w:sz w:val="24"/>
          <w:szCs w:val="24"/>
        </w:rPr>
        <w:t>T</w:t>
      </w:r>
      <w:r w:rsidRPr="008F379C">
        <w:rPr>
          <w:rFonts w:ascii="Times New Roman" w:hAnsi="Times New Roman" w:cs="Times New Roman"/>
          <w:i/>
          <w:sz w:val="24"/>
          <w:szCs w:val="24"/>
        </w:rPr>
        <w:t>hesis statement</w:t>
      </w:r>
    </w:p>
    <w:p w:rsidR="00000EC1" w:rsidRPr="008F379C" w:rsidRDefault="0027707E" w:rsidP="008F379C">
      <w:pPr>
        <w:spacing w:line="480" w:lineRule="auto"/>
        <w:ind w:firstLine="720"/>
        <w:rPr>
          <w:rFonts w:ascii="Times New Roman" w:hAnsi="Times New Roman" w:cs="Times New Roman"/>
          <w:sz w:val="24"/>
          <w:szCs w:val="24"/>
        </w:rPr>
      </w:pPr>
      <w:r w:rsidRPr="008F379C">
        <w:rPr>
          <w:rFonts w:ascii="Times New Roman" w:hAnsi="Times New Roman" w:cs="Times New Roman"/>
          <w:sz w:val="24"/>
          <w:szCs w:val="24"/>
        </w:rPr>
        <w:t>Fat works study weight-bias as the kind of oppression that crosses with different systems of oppression which include, race, age, gender, sexuality, gender identity, and economic status. Additionally, fat works attempt to provi</w:t>
      </w:r>
      <w:r w:rsidRPr="008F379C">
        <w:rPr>
          <w:rFonts w:ascii="Times New Roman" w:hAnsi="Times New Roman" w:cs="Times New Roman"/>
          <w:sz w:val="24"/>
          <w:szCs w:val="24"/>
        </w:rPr>
        <w:t>de social justice, the paradigm shift from weight loss to welfare advantage, and the reorganization of this advantage and oppression.</w:t>
      </w:r>
    </w:p>
    <w:p w:rsidR="008F379C" w:rsidRPr="008F379C" w:rsidRDefault="008F379C" w:rsidP="008F379C">
      <w:pPr>
        <w:spacing w:line="480" w:lineRule="auto"/>
        <w:ind w:firstLine="360"/>
        <w:rPr>
          <w:rFonts w:ascii="Times New Roman" w:hAnsi="Times New Roman" w:cs="Times New Roman"/>
          <w:sz w:val="24"/>
          <w:szCs w:val="24"/>
        </w:rPr>
      </w:pPr>
      <w:r w:rsidRPr="008F379C">
        <w:rPr>
          <w:rFonts w:ascii="Times New Roman" w:hAnsi="Times New Roman" w:cs="Times New Roman"/>
          <w:sz w:val="24"/>
          <w:szCs w:val="24"/>
        </w:rPr>
        <w:lastRenderedPageBreak/>
        <w:t>The examination investigates the new administration of Wisconsin's adolescent equity framework, inside this setting of rising variations among racial and ethnic minority youthful. It begins with a diagram of the hierarchical structure of Wisconsin's adolescent equity framework before going on to the thought of these past and new patterns in accordance with association results for youth. At long last, this examination breaks down the changing condition of adolescent organization in Wisconsin and states with the talk of ways for pushing ahead towards the more age-suitable, proof based, and impartial framework that benefits all young in Wisconsin.</w:t>
      </w:r>
    </w:p>
    <w:p w:rsidR="00000EC1" w:rsidRPr="008F379C" w:rsidRDefault="008F379C" w:rsidP="008F379C">
      <w:pPr>
        <w:spacing w:line="480" w:lineRule="auto"/>
        <w:ind w:firstLine="360"/>
        <w:rPr>
          <w:rFonts w:ascii="Times New Roman" w:hAnsi="Times New Roman" w:cs="Times New Roman"/>
          <w:sz w:val="24"/>
          <w:szCs w:val="24"/>
        </w:rPr>
      </w:pPr>
      <w:r w:rsidRPr="008F379C">
        <w:rPr>
          <w:rFonts w:ascii="Times New Roman" w:hAnsi="Times New Roman" w:cs="Times New Roman"/>
          <w:sz w:val="24"/>
          <w:szCs w:val="24"/>
        </w:rPr>
        <w:t xml:space="preserve"> Article</w:t>
      </w:r>
      <w:r w:rsidR="0027707E" w:rsidRPr="008F379C">
        <w:rPr>
          <w:rFonts w:ascii="Times New Roman" w:hAnsi="Times New Roman" w:cs="Times New Roman"/>
          <w:sz w:val="24"/>
          <w:szCs w:val="24"/>
        </w:rPr>
        <w:t xml:space="preserve"> Summary</w:t>
      </w:r>
    </w:p>
    <w:p w:rsidR="00000EC1" w:rsidRPr="008F379C" w:rsidRDefault="0027707E" w:rsidP="008F379C">
      <w:pPr>
        <w:spacing w:line="480" w:lineRule="auto"/>
        <w:ind w:firstLine="360"/>
        <w:rPr>
          <w:rFonts w:ascii="Times New Roman" w:hAnsi="Times New Roman" w:cs="Times New Roman"/>
          <w:sz w:val="24"/>
          <w:szCs w:val="24"/>
        </w:rPr>
      </w:pPr>
      <w:r w:rsidRPr="008F379C">
        <w:rPr>
          <w:rFonts w:ascii="Times New Roman" w:hAnsi="Times New Roman" w:cs="Times New Roman"/>
          <w:sz w:val="24"/>
          <w:szCs w:val="24"/>
        </w:rPr>
        <w:t>This stereotype of Blacks being guilty and a terrorist has suffered for many decades. Extensive research has documented how the media perpetuates the damaging organization through its twisted depiction of African American forces that em</w:t>
      </w:r>
      <w:r w:rsidRPr="008F379C">
        <w:rPr>
          <w:rFonts w:ascii="Times New Roman" w:hAnsi="Times New Roman" w:cs="Times New Roman"/>
          <w:sz w:val="24"/>
          <w:szCs w:val="24"/>
        </w:rPr>
        <w:t>phasizes negative connotations, e.g., guilt, poverty, and state. Recent research on implicit racial bias has just affirmed the determination of the organization. One survey asked participants to categorize items that looked on the display. Some of these it</w:t>
      </w:r>
      <w:r w:rsidRPr="008F379C">
        <w:rPr>
          <w:rFonts w:ascii="Times New Roman" w:hAnsi="Times New Roman" w:cs="Times New Roman"/>
          <w:sz w:val="24"/>
          <w:szCs w:val="24"/>
        </w:rPr>
        <w:t>ems were guns; others were hand tools. The human face blinked momentarily only before each object appeared on the surface. These sides, either Black or White, looked and disappeared so rapidly that participants did not consciously enter their existence; ye</w:t>
      </w:r>
      <w:r w:rsidRPr="008F379C">
        <w:rPr>
          <w:rFonts w:ascii="Times New Roman" w:hAnsi="Times New Roman" w:cs="Times New Roman"/>
          <w:sz w:val="24"/>
          <w:szCs w:val="24"/>
        </w:rPr>
        <w:t>t, these faces served as subliminal primes. Investigators discovered that non-Black participants described guns more quickly when they were primed with the Black look rather than White. Furthermore, when the time constraint was brought to the research, the</w:t>
      </w:r>
      <w:r w:rsidRPr="008F379C">
        <w:rPr>
          <w:rFonts w:ascii="Times New Roman" w:hAnsi="Times New Roman" w:cs="Times New Roman"/>
          <w:sz w:val="24"/>
          <w:szCs w:val="24"/>
        </w:rPr>
        <w:t xml:space="preserve"> Black face number made participants more likely to misidentify the way as a handgun versus when the name was White.</w:t>
      </w:r>
    </w:p>
    <w:p w:rsidR="00000EC1" w:rsidRPr="008F379C" w:rsidRDefault="00000EC1" w:rsidP="008F379C">
      <w:pPr>
        <w:spacing w:line="480" w:lineRule="auto"/>
        <w:ind w:left="720" w:hanging="720"/>
        <w:rPr>
          <w:rFonts w:ascii="Times New Roman" w:hAnsi="Times New Roman" w:cs="Times New Roman"/>
          <w:sz w:val="24"/>
          <w:szCs w:val="24"/>
        </w:rPr>
      </w:pPr>
    </w:p>
    <w:p w:rsidR="00000EC1" w:rsidRPr="008F379C" w:rsidRDefault="00000EC1" w:rsidP="008F379C">
      <w:pPr>
        <w:spacing w:line="480" w:lineRule="auto"/>
        <w:ind w:left="720" w:hanging="720"/>
        <w:rPr>
          <w:rFonts w:ascii="Times New Roman" w:hAnsi="Times New Roman" w:cs="Times New Roman"/>
          <w:sz w:val="24"/>
          <w:szCs w:val="24"/>
        </w:rPr>
      </w:pPr>
    </w:p>
    <w:p w:rsidR="008F379C" w:rsidRPr="008F379C" w:rsidRDefault="008F379C" w:rsidP="008F379C">
      <w:pPr>
        <w:spacing w:line="480" w:lineRule="auto"/>
        <w:ind w:firstLine="360"/>
        <w:rPr>
          <w:rFonts w:ascii="Times New Roman" w:hAnsi="Times New Roman" w:cs="Times New Roman"/>
          <w:sz w:val="24"/>
          <w:szCs w:val="24"/>
        </w:rPr>
      </w:pPr>
      <w:r w:rsidRPr="008F379C">
        <w:rPr>
          <w:rFonts w:ascii="Times New Roman" w:hAnsi="Times New Roman" w:cs="Times New Roman"/>
          <w:sz w:val="24"/>
          <w:szCs w:val="24"/>
        </w:rPr>
        <w:t xml:space="preserve">Thoughtfully, these are the components that made adolescent court beside grown-up criminal grounds. In spite of the fact that this lawful content may contrast among wards, immature court experts ordinarily are expected to take that individual needs and interests of this pre-adult when forming the last standard of demeanor and to plan a request that is the least exceptional option predictable with the requirements and best advantages of the adolescent and the necessities of society. Probation without decision (named by different families in different wards, incorporating deferment in an impression of expulsion and diversional). Condemning equivalents postponed for the particular time frame (commonly a half year or one yr.), and if this codefendant stays capture accessible and conforms to various court-requested conditions all through that period, the case is expelled (and in numerous awards, all court records of the case are fixed). Court-requested contemplations frequently consider the necessities that the respondent goes to class routinely and comply with any announcement made by the guardians. </w:t>
      </w:r>
    </w:p>
    <w:p w:rsidR="008F379C" w:rsidRPr="008F379C" w:rsidRDefault="008F379C" w:rsidP="008F379C">
      <w:pPr>
        <w:spacing w:line="480" w:lineRule="auto"/>
        <w:ind w:left="720" w:hanging="720"/>
        <w:rPr>
          <w:rFonts w:ascii="Times New Roman" w:hAnsi="Times New Roman" w:cs="Times New Roman"/>
          <w:sz w:val="24"/>
          <w:szCs w:val="24"/>
        </w:rPr>
      </w:pPr>
      <w:r w:rsidRPr="008F379C">
        <w:rPr>
          <w:rFonts w:ascii="Times New Roman" w:hAnsi="Times New Roman" w:cs="Times New Roman"/>
          <w:sz w:val="24"/>
          <w:szCs w:val="24"/>
        </w:rPr>
        <w:t xml:space="preserve">Results </w:t>
      </w:r>
    </w:p>
    <w:p w:rsidR="008F379C" w:rsidRPr="008F379C" w:rsidRDefault="008F379C" w:rsidP="008F379C">
      <w:pPr>
        <w:spacing w:line="480" w:lineRule="auto"/>
        <w:ind w:left="720" w:hanging="720"/>
        <w:rPr>
          <w:rFonts w:ascii="Times New Roman" w:hAnsi="Times New Roman" w:cs="Times New Roman"/>
          <w:sz w:val="24"/>
          <w:szCs w:val="24"/>
        </w:rPr>
      </w:pPr>
    </w:p>
    <w:p w:rsidR="008F379C" w:rsidRPr="008F379C" w:rsidRDefault="008F379C" w:rsidP="008F379C">
      <w:pPr>
        <w:spacing w:line="480" w:lineRule="auto"/>
        <w:ind w:firstLine="720"/>
        <w:rPr>
          <w:rFonts w:ascii="Times New Roman" w:hAnsi="Times New Roman" w:cs="Times New Roman"/>
          <w:sz w:val="24"/>
          <w:szCs w:val="24"/>
        </w:rPr>
      </w:pPr>
      <w:r w:rsidRPr="008F379C">
        <w:rPr>
          <w:rFonts w:ascii="Times New Roman" w:hAnsi="Times New Roman" w:cs="Times New Roman"/>
          <w:sz w:val="24"/>
          <w:szCs w:val="24"/>
        </w:rPr>
        <w:t xml:space="preserve">At the review took an interest N=92 preschool educators, all females with a normal age 30.5 ages (SD=6.65), went from 21 to 49 ages. This normal of their pragmatic instruction was six years, going from 0 to 30 years of preparing inside preschool help and preparing. All examinations were selected the Life-long Education class for preschool instructors in the Faculty of Teacher Training. N=67 members were taken on this year 2010 and N=25 were enlisted in this year 2011. This dispersion was suitable on the grounds that all understudies were these preschool instructors with probably some reasonable training and from different pieces of our country. To </w:t>
      </w:r>
      <w:r w:rsidRPr="008F379C">
        <w:rPr>
          <w:rFonts w:ascii="Times New Roman" w:hAnsi="Times New Roman" w:cs="Times New Roman"/>
          <w:sz w:val="24"/>
          <w:szCs w:val="24"/>
        </w:rPr>
        <w:lastRenderedPageBreak/>
        <w:t xml:space="preserve">look at identity organization at preschool educators, two identity surveys have been utilized. Eysenck's property structure "corrected release. Its standard rendition, to be exact, has been utilized to quantify the dimensions of extraversion, neuroticism, psychoticism, and social similarity. </w:t>
      </w:r>
    </w:p>
    <w:p w:rsidR="008F379C" w:rsidRPr="008F379C" w:rsidRDefault="008F379C" w:rsidP="008F379C">
      <w:pPr>
        <w:spacing w:line="480" w:lineRule="auto"/>
        <w:ind w:left="720" w:hanging="720"/>
        <w:rPr>
          <w:rFonts w:ascii="Times New Roman" w:hAnsi="Times New Roman" w:cs="Times New Roman"/>
          <w:sz w:val="24"/>
          <w:szCs w:val="24"/>
        </w:rPr>
      </w:pPr>
    </w:p>
    <w:p w:rsidR="008F379C" w:rsidRPr="008F379C" w:rsidRDefault="008F379C" w:rsidP="008F379C">
      <w:pPr>
        <w:spacing w:line="480" w:lineRule="auto"/>
        <w:ind w:firstLine="720"/>
        <w:rPr>
          <w:rFonts w:ascii="Times New Roman" w:hAnsi="Times New Roman" w:cs="Times New Roman"/>
          <w:sz w:val="24"/>
          <w:szCs w:val="24"/>
        </w:rPr>
      </w:pPr>
      <w:r w:rsidRPr="008F379C">
        <w:rPr>
          <w:rFonts w:ascii="Times New Roman" w:hAnsi="Times New Roman" w:cs="Times New Roman"/>
          <w:sz w:val="24"/>
          <w:szCs w:val="24"/>
        </w:rPr>
        <w:t xml:space="preserve">Case of enthusiasm for the study were youngsters (n = 194) with age scopes of 12-15 ages (M = 14.00, SD = 3.25). Purposive example strategy was connected for the assortment of seventh class (n = 45, 23.2 percent) , eighth class (n = 75, 38.7% ) and ninth class understudies (n = 74, 38.1 %) from private segment auxiliary schools. The two young ladies (n = 99, 51 percent) and young men (n = 95, 49 percent) were incorporated into this appropriation. It is the regular reflection that the quantity of understudies at these schools was from working class families, for example Individuals rating themselves among these individuals having sensible salary rather than those individuals getting low or higher pay. </w:t>
      </w:r>
    </w:p>
    <w:p w:rsidR="008F379C" w:rsidRPr="008F379C" w:rsidRDefault="008F379C" w:rsidP="008F379C">
      <w:pPr>
        <w:spacing w:line="480" w:lineRule="auto"/>
        <w:ind w:left="720" w:hanging="720"/>
        <w:rPr>
          <w:rFonts w:ascii="Times New Roman" w:hAnsi="Times New Roman" w:cs="Times New Roman"/>
          <w:sz w:val="24"/>
          <w:szCs w:val="24"/>
        </w:rPr>
      </w:pPr>
    </w:p>
    <w:p w:rsidR="0075629D" w:rsidRPr="008F379C" w:rsidRDefault="008F379C" w:rsidP="008F379C">
      <w:pPr>
        <w:spacing w:line="480" w:lineRule="auto"/>
        <w:ind w:firstLine="720"/>
        <w:rPr>
          <w:rFonts w:ascii="Times New Roman" w:hAnsi="Times New Roman" w:cs="Times New Roman"/>
          <w:sz w:val="24"/>
          <w:szCs w:val="24"/>
        </w:rPr>
      </w:pPr>
      <w:r w:rsidRPr="008F379C">
        <w:rPr>
          <w:rFonts w:ascii="Times New Roman" w:hAnsi="Times New Roman" w:cs="Times New Roman"/>
          <w:sz w:val="24"/>
          <w:szCs w:val="24"/>
        </w:rPr>
        <w:t xml:space="preserve">To research the relationship among infringement and statistic includes, the middle age was determined for each time of examination by the quantity of going before infringement. Sex results were additionally explored by assessing the proportion of female drivers by year and the quantity of going before infractions. Synopsis measurements were determined for this measure of drivers, driver years, and sex in the focal point of each date-book year (June 30). The quantity of drivers, infringement, and rate of infringement per 1000 drivers by the quantity of going before infringement at the 6-year overview point was additionally analyzed independently for </w:t>
      </w:r>
      <w:r w:rsidRPr="008F379C">
        <w:rPr>
          <w:rFonts w:ascii="Times New Roman" w:hAnsi="Times New Roman" w:cs="Times New Roman"/>
          <w:sz w:val="24"/>
          <w:szCs w:val="24"/>
        </w:rPr>
        <w:lastRenderedPageBreak/>
        <w:t>men and females. Inevitably, the general likelihood of the rupture was explored, by sex and number of going before infringement (Shoemaker, 2017).</w:t>
      </w:r>
      <w:r w:rsidR="0027707E" w:rsidRPr="008F379C">
        <w:rPr>
          <w:rFonts w:ascii="Times New Roman" w:hAnsi="Times New Roman" w:cs="Times New Roman"/>
          <w:sz w:val="24"/>
          <w:szCs w:val="24"/>
        </w:rPr>
        <w:t>My Analysis</w:t>
      </w:r>
    </w:p>
    <w:p w:rsidR="00000EC1" w:rsidRPr="008F379C" w:rsidRDefault="0027707E" w:rsidP="008F379C">
      <w:pPr>
        <w:spacing w:line="480" w:lineRule="auto"/>
        <w:ind w:firstLine="720"/>
        <w:rPr>
          <w:rFonts w:ascii="Times New Roman" w:hAnsi="Times New Roman" w:cs="Times New Roman"/>
          <w:sz w:val="24"/>
          <w:szCs w:val="24"/>
        </w:rPr>
      </w:pPr>
      <w:r w:rsidRPr="008F379C">
        <w:rPr>
          <w:rFonts w:ascii="Times New Roman" w:hAnsi="Times New Roman" w:cs="Times New Roman"/>
          <w:sz w:val="24"/>
          <w:szCs w:val="24"/>
        </w:rPr>
        <w:t>A 2015 report by the nonprofit W. Haywood Burns a</w:t>
      </w:r>
      <w:r w:rsidRPr="008F379C">
        <w:rPr>
          <w:rFonts w:ascii="Times New Roman" w:hAnsi="Times New Roman" w:cs="Times New Roman"/>
          <w:sz w:val="24"/>
          <w:szCs w:val="24"/>
        </w:rPr>
        <w:t>ssociation saw grave racial disparities in every phase of the criminal justice activity in San Francisco. Investigators stated that `` this ratio of these disparities weakens any idea of 'justice' in our criminal justice system. Given these disparities out</w:t>
      </w:r>
      <w:r w:rsidRPr="008F379C">
        <w:rPr>
          <w:rFonts w:ascii="Times New Roman" w:hAnsi="Times New Roman" w:cs="Times New Roman"/>
          <w:sz w:val="24"/>
          <w:szCs w:val="24"/>
        </w:rPr>
        <w:t xml:space="preserve">lined in the study, it is incumbent on local stakeholders to call these inequities at this criminal justice system. '' San Francisco Reinvestment Initiative: Racial and Ethnic disparity investigation for this Reentry meeting, </w:t>
      </w:r>
      <w:r w:rsidRPr="008F379C">
        <w:rPr>
          <w:rFonts w:ascii="Times New Roman" w:hAnsi="Times New Roman" w:cs="Times New Roman"/>
          <w:sz w:val="24"/>
          <w:szCs w:val="24"/>
        </w:rPr>
        <w:t>`` this 2015 study, conducted by this W. Haywood burning association for juvenile administration, Justice&amp; interest, likewise discovered that while 46% of colored convicts and 35 percent of white inmates booked in San Francisco were</w:t>
      </w:r>
      <w:r w:rsidR="0075629D" w:rsidRPr="008F379C">
        <w:rPr>
          <w:rFonts w:ascii="Times New Roman" w:hAnsi="Times New Roman" w:cs="Times New Roman"/>
          <w:sz w:val="24"/>
          <w:szCs w:val="24"/>
        </w:rPr>
        <w:t xml:space="preserve"> eligible for pretrial release  of those likely </w:t>
      </w:r>
      <w:r w:rsidRPr="008F379C">
        <w:rPr>
          <w:rFonts w:ascii="Times New Roman" w:hAnsi="Times New Roman" w:cs="Times New Roman"/>
          <w:sz w:val="24"/>
          <w:szCs w:val="24"/>
        </w:rPr>
        <w:t> </w:t>
      </w:r>
      <w:r w:rsidRPr="008F379C">
        <w:rPr>
          <w:rFonts w:ascii="Times New Roman" w:hAnsi="Times New Roman" w:cs="Times New Roman"/>
          <w:sz w:val="24"/>
          <w:szCs w:val="24"/>
        </w:rPr>
        <w:t xml:space="preserve">54 percent of white inmates were actually released while only 48 percent of black inmates were released. </w:t>
      </w:r>
    </w:p>
    <w:p w:rsidR="0075629D" w:rsidRPr="008F379C" w:rsidRDefault="0027707E" w:rsidP="008F379C">
      <w:pPr>
        <w:spacing w:line="480" w:lineRule="auto"/>
        <w:ind w:firstLine="720"/>
        <w:rPr>
          <w:rFonts w:ascii="Times New Roman" w:hAnsi="Times New Roman" w:cs="Times New Roman"/>
          <w:sz w:val="24"/>
          <w:szCs w:val="24"/>
        </w:rPr>
      </w:pPr>
      <w:r w:rsidRPr="008F379C">
        <w:rPr>
          <w:rFonts w:ascii="Times New Roman" w:hAnsi="Times New Roman" w:cs="Times New Roman"/>
          <w:sz w:val="24"/>
          <w:szCs w:val="24"/>
        </w:rPr>
        <w:t>Racist and economic disparities remain throughout the post-arrest criminal justice procedure. A disproportionate amount</w:t>
      </w:r>
      <w:r w:rsidRPr="008F379C">
        <w:rPr>
          <w:rFonts w:ascii="Times New Roman" w:hAnsi="Times New Roman" w:cs="Times New Roman"/>
          <w:sz w:val="24"/>
          <w:szCs w:val="24"/>
        </w:rPr>
        <w:t xml:space="preserve"> of black and Hispanic people arrested for nonviolent offenses are taken in pretrial custody. Pretrial punishment, in exchange, forces the person, even an innocent person, to plead guilty</w:t>
      </w:r>
      <w:r w:rsidRPr="008F379C">
        <w:rPr>
          <w:rFonts w:ascii="Times New Roman" w:hAnsi="Times New Roman" w:cs="Times New Roman"/>
          <w:sz w:val="24"/>
          <w:szCs w:val="24"/>
        </w:rPr>
        <w:t xml:space="preserve"> (</w:t>
      </w:r>
      <w:r w:rsidRPr="008F379C">
        <w:rPr>
          <w:rFonts w:ascii="Times New Roman" w:hAnsi="Times New Roman" w:cs="Times New Roman"/>
          <w:sz w:val="24"/>
          <w:szCs w:val="24"/>
        </w:rPr>
        <w:t xml:space="preserve">Moffitt, 2017). </w:t>
      </w:r>
    </w:p>
    <w:p w:rsidR="00000EC1" w:rsidRPr="008F379C" w:rsidRDefault="0027707E" w:rsidP="008F379C">
      <w:pPr>
        <w:spacing w:line="480" w:lineRule="auto"/>
        <w:ind w:firstLine="720"/>
        <w:rPr>
          <w:rFonts w:ascii="Times New Roman" w:hAnsi="Times New Roman" w:cs="Times New Roman"/>
          <w:sz w:val="24"/>
          <w:szCs w:val="24"/>
        </w:rPr>
      </w:pPr>
      <w:r w:rsidRPr="008F379C">
        <w:rPr>
          <w:rFonts w:ascii="Times New Roman" w:hAnsi="Times New Roman" w:cs="Times New Roman"/>
          <w:sz w:val="24"/>
          <w:szCs w:val="24"/>
        </w:rPr>
        <w:t xml:space="preserve">Another survey of aggression and mistreatment was </w:t>
      </w:r>
      <w:r w:rsidRPr="008F379C">
        <w:rPr>
          <w:rFonts w:ascii="Times New Roman" w:hAnsi="Times New Roman" w:cs="Times New Roman"/>
          <w:sz w:val="24"/>
          <w:szCs w:val="24"/>
        </w:rPr>
        <w:t>conducted at three high schools and five middle schools (including sixth grade) in the vast urban region in Texas. These students were predominantly Black and Latino and the student population mostly poor, as assessed by the higher rate of qualification fo</w:t>
      </w:r>
      <w:r w:rsidRPr="008F379C">
        <w:rPr>
          <w:rFonts w:ascii="Times New Roman" w:hAnsi="Times New Roman" w:cs="Times New Roman"/>
          <w:sz w:val="24"/>
          <w:szCs w:val="24"/>
        </w:rPr>
        <w:t>r federally offered available and reduced cost lunches. Among these young, the investigator discovered: Rural young researchers also regard the effect of bullying on rural youth. Although some adults may remember aggression as an urban issue, most frequent</w:t>
      </w:r>
      <w:r w:rsidRPr="008F379C">
        <w:rPr>
          <w:rFonts w:ascii="Times New Roman" w:hAnsi="Times New Roman" w:cs="Times New Roman"/>
          <w:sz w:val="24"/>
          <w:szCs w:val="24"/>
        </w:rPr>
        <w:t xml:space="preserve">ly </w:t>
      </w:r>
      <w:r w:rsidRPr="008F379C">
        <w:rPr>
          <w:rFonts w:ascii="Times New Roman" w:hAnsi="Times New Roman" w:cs="Times New Roman"/>
          <w:sz w:val="24"/>
          <w:szCs w:val="24"/>
        </w:rPr>
        <w:lastRenderedPageBreak/>
        <w:t>occurring in large schools with gangs, the alienation of rural youth will make them especially vulnerable to bullying. The survey of students in rural West Canada proved that, as elsewhere, students were targeted because of physical appearance</w:t>
      </w:r>
      <w:r w:rsidR="0075629D" w:rsidRPr="008F379C">
        <w:rPr>
          <w:rFonts w:ascii="Times New Roman" w:hAnsi="Times New Roman" w:cs="Times New Roman"/>
          <w:sz w:val="24"/>
          <w:szCs w:val="24"/>
        </w:rPr>
        <w:t>,</w:t>
      </w:r>
      <w:r w:rsidRPr="008F379C">
        <w:rPr>
          <w:rFonts w:ascii="Times New Roman" w:hAnsi="Times New Roman" w:cs="Times New Roman"/>
          <w:sz w:val="24"/>
          <w:szCs w:val="24"/>
        </w:rPr>
        <w:t xml:space="preserve"> e.g., be</w:t>
      </w:r>
      <w:r w:rsidRPr="008F379C">
        <w:rPr>
          <w:rFonts w:ascii="Times New Roman" w:hAnsi="Times New Roman" w:cs="Times New Roman"/>
          <w:sz w:val="24"/>
          <w:szCs w:val="24"/>
        </w:rPr>
        <w:t>ing fat or not giving suitable clothing. Bullies spoke freely about the position they earned from their activities. Students reported that they were supposed to want professional assistance, but that thing should be made about bullying.41 as a matter of fa</w:t>
      </w:r>
      <w:r w:rsidRPr="008F379C">
        <w:rPr>
          <w:rFonts w:ascii="Times New Roman" w:hAnsi="Times New Roman" w:cs="Times New Roman"/>
          <w:sz w:val="24"/>
          <w:szCs w:val="24"/>
        </w:rPr>
        <w:t>ct, the thought that huge schools or courses are more contributing to bullying appears inaccurate. No correlation has been demonstrated between class or education size and aggression.</w:t>
      </w:r>
    </w:p>
    <w:p w:rsidR="00000EC1" w:rsidRPr="008F379C" w:rsidRDefault="0027707E" w:rsidP="008F379C">
      <w:pPr>
        <w:spacing w:line="480" w:lineRule="auto"/>
        <w:ind w:left="720" w:hanging="720"/>
        <w:rPr>
          <w:rFonts w:ascii="Times New Roman" w:hAnsi="Times New Roman" w:cs="Times New Roman"/>
          <w:sz w:val="24"/>
          <w:szCs w:val="24"/>
        </w:rPr>
      </w:pPr>
      <w:r w:rsidRPr="008F379C">
        <w:rPr>
          <w:rFonts w:ascii="Times New Roman" w:hAnsi="Times New Roman" w:cs="Times New Roman"/>
          <w:sz w:val="24"/>
          <w:szCs w:val="24"/>
        </w:rPr>
        <w:t>Conclusion</w:t>
      </w:r>
    </w:p>
    <w:p w:rsidR="008F379C" w:rsidRPr="008F379C" w:rsidRDefault="008F379C" w:rsidP="008F379C">
      <w:pPr>
        <w:spacing w:line="480" w:lineRule="auto"/>
        <w:ind w:firstLine="720"/>
        <w:rPr>
          <w:rFonts w:ascii="Times New Roman" w:hAnsi="Times New Roman" w:cs="Times New Roman"/>
          <w:sz w:val="24"/>
          <w:szCs w:val="24"/>
        </w:rPr>
      </w:pPr>
      <w:r w:rsidRPr="008F379C">
        <w:rPr>
          <w:rFonts w:ascii="Times New Roman" w:hAnsi="Times New Roman" w:cs="Times New Roman"/>
          <w:sz w:val="24"/>
          <w:szCs w:val="24"/>
        </w:rPr>
        <w:t xml:space="preserve">Utilizing data accumulated by the United States Sentencing advisory group, we investigate the individual and related impacts of race/ethnicity, sex, and age on condemning choices at U.S. National courts. We see that Hispanics and Africans, guys, and more youthful litigants have harsher sentences than whites, females, and more seasoned suspects subsequent to working for critical statutory and logical components. At the point when these outcomes are dissected in the unit, adolescent American male litigants let the most elevated proportions of imprisonment, and youthful dark male respondents have the longest sentences. These discoveries uncover critical fluctuation in the condemning outcomes of respondents reliant on their relative social-basic position in the public arena, and the strangely brutal punishments are centered excessively on the most youthful Hispanic and dark male litigants. Our outcomes reinforce this thought analysts need to consider the one impact of different litigant statuses on condemning outcomes since regular results are significantly more enormous than the aftereffects of any one respondent trademark. </w:t>
      </w:r>
    </w:p>
    <w:p w:rsidR="008F379C" w:rsidRPr="008F379C" w:rsidRDefault="008F379C" w:rsidP="008F379C">
      <w:pPr>
        <w:spacing w:line="480" w:lineRule="auto"/>
        <w:rPr>
          <w:rFonts w:ascii="Times New Roman" w:hAnsi="Times New Roman" w:cs="Times New Roman"/>
          <w:sz w:val="24"/>
          <w:szCs w:val="24"/>
        </w:rPr>
      </w:pPr>
    </w:p>
    <w:p w:rsidR="003444D3" w:rsidRPr="008F379C" w:rsidRDefault="008F379C" w:rsidP="008F379C">
      <w:pPr>
        <w:spacing w:line="480" w:lineRule="auto"/>
        <w:rPr>
          <w:rFonts w:ascii="Times New Roman" w:hAnsi="Times New Roman" w:cs="Times New Roman"/>
          <w:sz w:val="24"/>
          <w:szCs w:val="24"/>
        </w:rPr>
      </w:pPr>
      <w:r w:rsidRPr="008F379C">
        <w:rPr>
          <w:rFonts w:ascii="Times New Roman" w:hAnsi="Times New Roman" w:cs="Times New Roman"/>
          <w:sz w:val="24"/>
          <w:szCs w:val="24"/>
        </w:rPr>
        <w:t>At the early period of our investigation, we examine the individual results of race/ethnicity, sex, and age on detainment and sentence measure impacts in the wake of controlling for critical lawful variables and contrasts crosswise over legal regions. Second, we look at whether the outcomes of race/ethnicity, sex, and age on condemning outcomes are the equivalent or diverse crosswise over racial/ethnic and sex groupings. Third, we examine the normal outcomes of race/ethnicity and years (e.g., 18 "20-year-old dark respondents) on condemning outcomes separately for male and female suspects.</w:t>
      </w:r>
      <w:r w:rsidR="0027707E" w:rsidRPr="008F379C">
        <w:rPr>
          <w:rFonts w:ascii="Times New Roman" w:hAnsi="Times New Roman" w:cs="Times New Roman"/>
          <w:sz w:val="24"/>
          <w:szCs w:val="24"/>
        </w:rPr>
        <w:br w:type="page"/>
      </w:r>
      <w:r w:rsidR="0027707E" w:rsidRPr="008F379C">
        <w:rPr>
          <w:rFonts w:ascii="Times New Roman" w:hAnsi="Times New Roman" w:cs="Times New Roman"/>
          <w:sz w:val="24"/>
          <w:szCs w:val="24"/>
        </w:rPr>
        <w:lastRenderedPageBreak/>
        <w:t>REFERENCES</w:t>
      </w:r>
    </w:p>
    <w:p w:rsidR="00E10057" w:rsidRPr="008F379C" w:rsidRDefault="0027707E" w:rsidP="008F379C">
      <w:pPr>
        <w:spacing w:line="480" w:lineRule="auto"/>
        <w:ind w:left="1440" w:hanging="1440"/>
        <w:rPr>
          <w:rFonts w:ascii="Times New Roman" w:hAnsi="Times New Roman" w:cs="Times New Roman"/>
          <w:sz w:val="24"/>
          <w:szCs w:val="24"/>
        </w:rPr>
      </w:pPr>
      <w:r w:rsidRPr="008F379C">
        <w:rPr>
          <w:rFonts w:ascii="Times New Roman" w:hAnsi="Times New Roman" w:cs="Times New Roman"/>
          <w:sz w:val="24"/>
          <w:szCs w:val="24"/>
        </w:rPr>
        <w:t>Davis, A. J. (Ed.). (2017). </w:t>
      </w:r>
      <w:r w:rsidRPr="008F379C">
        <w:rPr>
          <w:rFonts w:ascii="Times New Roman" w:hAnsi="Times New Roman" w:cs="Times New Roman"/>
          <w:i/>
          <w:iCs/>
          <w:sz w:val="24"/>
          <w:szCs w:val="24"/>
        </w:rPr>
        <w:t>Policing the Black Man: Arrest, Prosecution, and Imprisonment</w:t>
      </w:r>
      <w:r w:rsidRPr="008F379C">
        <w:rPr>
          <w:rFonts w:ascii="Times New Roman" w:hAnsi="Times New Roman" w:cs="Times New Roman"/>
          <w:sz w:val="24"/>
          <w:szCs w:val="24"/>
        </w:rPr>
        <w:t>. Vintage.</w:t>
      </w:r>
    </w:p>
    <w:p w:rsidR="00E10057" w:rsidRPr="008F379C" w:rsidRDefault="0027707E" w:rsidP="008F379C">
      <w:pPr>
        <w:spacing w:line="480" w:lineRule="auto"/>
        <w:ind w:left="1440" w:hanging="1440"/>
        <w:rPr>
          <w:rFonts w:ascii="Times New Roman" w:hAnsi="Times New Roman" w:cs="Times New Roman"/>
          <w:sz w:val="24"/>
          <w:szCs w:val="24"/>
        </w:rPr>
      </w:pPr>
      <w:r w:rsidRPr="008F379C">
        <w:rPr>
          <w:rFonts w:ascii="Times New Roman" w:hAnsi="Times New Roman" w:cs="Times New Roman"/>
          <w:sz w:val="24"/>
          <w:szCs w:val="24"/>
        </w:rPr>
        <w:t xml:space="preserve">Moffitt, T. E. (2017). Life-course-persistent versus </w:t>
      </w:r>
      <w:r w:rsidRPr="008F379C">
        <w:rPr>
          <w:rFonts w:ascii="Times New Roman" w:hAnsi="Times New Roman" w:cs="Times New Roman"/>
          <w:sz w:val="24"/>
          <w:szCs w:val="24"/>
        </w:rPr>
        <w:t>adolescence-limited antisocial behavior. In </w:t>
      </w:r>
      <w:r w:rsidRPr="008F379C">
        <w:rPr>
          <w:rFonts w:ascii="Times New Roman" w:hAnsi="Times New Roman" w:cs="Times New Roman"/>
          <w:i/>
          <w:iCs/>
          <w:sz w:val="24"/>
          <w:szCs w:val="24"/>
        </w:rPr>
        <w:t>Developmental and Life-course Criminological Theories</w:t>
      </w:r>
      <w:r w:rsidRPr="008F379C">
        <w:rPr>
          <w:rFonts w:ascii="Times New Roman" w:hAnsi="Times New Roman" w:cs="Times New Roman"/>
          <w:sz w:val="24"/>
          <w:szCs w:val="24"/>
        </w:rPr>
        <w:t> (pp. 75-103). Routledge.</w:t>
      </w:r>
    </w:p>
    <w:p w:rsidR="00E10057" w:rsidRPr="008F379C" w:rsidRDefault="0027707E" w:rsidP="008F379C">
      <w:pPr>
        <w:spacing w:line="480" w:lineRule="auto"/>
        <w:ind w:left="1440" w:hanging="1440"/>
        <w:rPr>
          <w:rFonts w:ascii="Times New Roman" w:hAnsi="Times New Roman" w:cs="Times New Roman"/>
          <w:sz w:val="24"/>
          <w:szCs w:val="24"/>
        </w:rPr>
      </w:pPr>
      <w:r w:rsidRPr="008F379C">
        <w:rPr>
          <w:rFonts w:ascii="Times New Roman" w:hAnsi="Times New Roman" w:cs="Times New Roman"/>
          <w:sz w:val="24"/>
          <w:szCs w:val="24"/>
        </w:rPr>
        <w:t>Shoemaker, D. J. (2017). </w:t>
      </w:r>
      <w:r w:rsidRPr="008F379C">
        <w:rPr>
          <w:rFonts w:ascii="Times New Roman" w:hAnsi="Times New Roman" w:cs="Times New Roman"/>
          <w:i/>
          <w:iCs/>
          <w:sz w:val="24"/>
          <w:szCs w:val="24"/>
        </w:rPr>
        <w:t>Juvenile delinquency</w:t>
      </w:r>
      <w:r w:rsidRPr="008F379C">
        <w:rPr>
          <w:rFonts w:ascii="Times New Roman" w:hAnsi="Times New Roman" w:cs="Times New Roman"/>
          <w:sz w:val="24"/>
          <w:szCs w:val="24"/>
        </w:rPr>
        <w:t>. Rowman &amp; Littlefield.</w:t>
      </w:r>
    </w:p>
    <w:p w:rsidR="00884EE5" w:rsidRPr="008F379C" w:rsidRDefault="00884EE5" w:rsidP="008F379C">
      <w:pPr>
        <w:spacing w:line="480" w:lineRule="auto"/>
        <w:ind w:left="1440" w:hanging="1440"/>
        <w:rPr>
          <w:rFonts w:ascii="Times New Roman" w:hAnsi="Times New Roman" w:cs="Times New Roman"/>
          <w:sz w:val="24"/>
          <w:szCs w:val="24"/>
        </w:rPr>
      </w:pPr>
    </w:p>
    <w:sectPr w:rsidR="00884EE5" w:rsidRPr="008F379C" w:rsidSect="00884EE5">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707E" w:rsidRDefault="0027707E" w:rsidP="00E90187">
      <w:pPr>
        <w:spacing w:after="0" w:line="240" w:lineRule="auto"/>
      </w:pPr>
      <w:r>
        <w:separator/>
      </w:r>
    </w:p>
  </w:endnote>
  <w:endnote w:type="continuationSeparator" w:id="1">
    <w:p w:rsidR="0027707E" w:rsidRDefault="0027707E" w:rsidP="00E901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707E" w:rsidRDefault="0027707E" w:rsidP="00E90187">
      <w:pPr>
        <w:spacing w:after="0" w:line="240" w:lineRule="auto"/>
      </w:pPr>
      <w:r>
        <w:separator/>
      </w:r>
    </w:p>
  </w:footnote>
  <w:footnote w:type="continuationSeparator" w:id="1">
    <w:p w:rsidR="0027707E" w:rsidRDefault="0027707E" w:rsidP="00E901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27707E" w:rsidP="00884EE5">
    <w:pPr>
      <w:spacing w:after="0" w:line="480" w:lineRule="auto"/>
      <w:contextualSpacing/>
      <w:jc w:val="center"/>
      <w:rPr>
        <w:rFonts w:ascii="Times New Roman" w:hAnsi="Times New Roman" w:cs="Times New Roman"/>
        <w:sz w:val="24"/>
        <w:szCs w:val="24"/>
      </w:rPr>
    </w:pPr>
    <w:r w:rsidRPr="00884EE5">
      <w:rPr>
        <w:rFonts w:ascii="Times New Roman" w:hAnsi="Times New Roman" w:cs="Times New Roman"/>
        <w:sz w:val="24"/>
        <w:szCs w:val="24"/>
      </w:rPr>
      <w:t>DISPARITIES AT ADJUDICATION IN THE JUVENILE JUSTICE SYSTEM</w:t>
    </w:r>
    <w:r w:rsidR="00C31A35">
      <w:rPr>
        <w:rFonts w:ascii="Times New Roman" w:hAnsi="Times New Roman" w:cs="Times New Roman"/>
        <w:sz w:val="24"/>
        <w:szCs w:val="24"/>
      </w:rPr>
      <w:tab/>
    </w:r>
    <w:r w:rsidR="00C31A35">
      <w:rPr>
        <w:rFonts w:ascii="Times New Roman" w:hAnsi="Times New Roman" w:cs="Times New Roman"/>
        <w:sz w:val="24"/>
        <w:szCs w:val="24"/>
      </w:rPr>
      <w:tab/>
    </w:r>
    <w:sdt>
      <w:sdtPr>
        <w:rPr>
          <w:rFonts w:ascii="Times New Roman" w:hAnsi="Times New Roman" w:cs="Times New Roman"/>
          <w:sz w:val="24"/>
          <w:szCs w:val="24"/>
        </w:rPr>
        <w:id w:val="7161893"/>
        <w:docPartObj>
          <w:docPartGallery w:val="Page Numbers (Top of Page)"/>
          <w:docPartUnique/>
        </w:docPartObj>
      </w:sdtPr>
      <w:sdtContent>
        <w:r w:rsidR="00E90187" w:rsidRPr="00FC5A8D">
          <w:rPr>
            <w:rFonts w:ascii="Times New Roman" w:hAnsi="Times New Roman" w:cs="Times New Roman"/>
            <w:sz w:val="24"/>
            <w:szCs w:val="24"/>
          </w:rPr>
          <w:fldChar w:fldCharType="begin"/>
        </w:r>
        <w:r w:rsidR="00BD69B8" w:rsidRPr="00FC5A8D">
          <w:rPr>
            <w:rFonts w:ascii="Times New Roman" w:hAnsi="Times New Roman" w:cs="Times New Roman"/>
            <w:sz w:val="24"/>
            <w:szCs w:val="24"/>
          </w:rPr>
          <w:instrText xml:space="preserve"> PAGE   \* MERGEFORMAT </w:instrText>
        </w:r>
        <w:r w:rsidR="00E90187" w:rsidRPr="00FC5A8D">
          <w:rPr>
            <w:rFonts w:ascii="Times New Roman" w:hAnsi="Times New Roman" w:cs="Times New Roman"/>
            <w:sz w:val="24"/>
            <w:szCs w:val="24"/>
          </w:rPr>
          <w:fldChar w:fldCharType="separate"/>
        </w:r>
        <w:r w:rsidR="008F379C">
          <w:rPr>
            <w:rFonts w:ascii="Times New Roman" w:hAnsi="Times New Roman" w:cs="Times New Roman"/>
            <w:noProof/>
            <w:sz w:val="24"/>
            <w:szCs w:val="24"/>
          </w:rPr>
          <w:t>7</w:t>
        </w:r>
        <w:r w:rsidR="00E90187" w:rsidRPr="00FC5A8D">
          <w:rPr>
            <w:rFonts w:ascii="Times New Roman" w:hAnsi="Times New Roman" w:cs="Times New Roman"/>
            <w:sz w:val="24"/>
            <w:szCs w:val="24"/>
          </w:rPr>
          <w:fldChar w:fldCharType="end"/>
        </w:r>
      </w:sdtContent>
    </w:sdt>
  </w:p>
  <w:p w:rsidR="00FC5A8D" w:rsidRPr="00FC5A8D" w:rsidRDefault="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D7461E" w:rsidRDefault="0027707E" w:rsidP="005D3D82">
    <w:pPr>
      <w:spacing w:after="0" w:line="480" w:lineRule="auto"/>
      <w:contextualSpacing/>
      <w:rPr>
        <w:rFonts w:ascii="Times New Roman" w:hAnsi="Times New Roman" w:cs="Times New Roman"/>
        <w:color w:val="444444"/>
        <w:sz w:val="24"/>
        <w:szCs w:val="24"/>
        <w:shd w:val="clear" w:color="auto" w:fill="FFFFFF"/>
      </w:rPr>
    </w:pPr>
    <w:r w:rsidRPr="005D3D82">
      <w:rPr>
        <w:rFonts w:ascii="Times New Roman" w:hAnsi="Times New Roman" w:cs="Times New Roman"/>
        <w:sz w:val="24"/>
        <w:szCs w:val="24"/>
      </w:rPr>
      <w:t>Running head:</w:t>
    </w:r>
    <w:r w:rsidR="00884EE5" w:rsidRPr="00884EE5">
      <w:rPr>
        <w:rFonts w:ascii="Times New Roman" w:hAnsi="Times New Roman" w:cs="Times New Roman"/>
        <w:sz w:val="24"/>
        <w:szCs w:val="24"/>
      </w:rPr>
      <w:t xml:space="preserve"> DISPARITIES AT ADJUDICATION</w:t>
    </w:r>
    <w:r w:rsidR="00884EE5">
      <w:rPr>
        <w:rFonts w:ascii="Times New Roman" w:hAnsi="Times New Roman" w:cs="Times New Roman"/>
        <w:sz w:val="24"/>
        <w:szCs w:val="24"/>
      </w:rPr>
      <w:t xml:space="preserve"> IN THE JUVENILE JUSTICE SYSTEM</w:t>
    </w:r>
    <w:sdt>
      <w:sdtPr>
        <w:rPr>
          <w:rFonts w:ascii="Times New Roman" w:hAnsi="Times New Roman" w:cs="Times New Roman"/>
          <w:sz w:val="24"/>
          <w:szCs w:val="24"/>
        </w:rPr>
        <w:id w:val="7161726"/>
        <w:docPartObj>
          <w:docPartGallery w:val="Page Numbers (Top of Page)"/>
          <w:docPartUnique/>
        </w:docPartObj>
      </w:sdtPr>
      <w:sdtContent>
        <w:r w:rsidR="00E90187"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00E90187" w:rsidRPr="00FC5A8D">
          <w:rPr>
            <w:rFonts w:ascii="Times New Roman" w:hAnsi="Times New Roman" w:cs="Times New Roman"/>
            <w:sz w:val="24"/>
            <w:szCs w:val="24"/>
          </w:rPr>
          <w:fldChar w:fldCharType="separate"/>
        </w:r>
        <w:r w:rsidR="008F379C" w:rsidRPr="008F379C">
          <w:rPr>
            <w:noProof/>
          </w:rPr>
          <w:t>1</w:t>
        </w:r>
        <w:r w:rsidR="00E90187" w:rsidRPr="00FC5A8D">
          <w:rPr>
            <w:rFonts w:ascii="Times New Roman" w:hAnsi="Times New Roman" w:cs="Times New Roman"/>
            <w:sz w:val="24"/>
            <w:szCs w:val="24"/>
          </w:rPr>
          <w:fldChar w:fldCharType="end"/>
        </w:r>
      </w:sdtContent>
    </w:sdt>
  </w:p>
  <w:p w:rsidR="00FC5A8D" w:rsidRDefault="00FC5A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13D02"/>
    <w:multiLevelType w:val="hybridMultilevel"/>
    <w:tmpl w:val="FF9CAD78"/>
    <w:lvl w:ilvl="0" w:tplc="010EDEEC">
      <w:start w:val="1"/>
      <w:numFmt w:val="decimal"/>
      <w:lvlText w:val="%1."/>
      <w:lvlJc w:val="left"/>
      <w:pPr>
        <w:ind w:left="720" w:hanging="360"/>
      </w:pPr>
      <w:rPr>
        <w:rFonts w:hint="default"/>
      </w:rPr>
    </w:lvl>
    <w:lvl w:ilvl="1" w:tplc="86AC1F40" w:tentative="1">
      <w:start w:val="1"/>
      <w:numFmt w:val="lowerLetter"/>
      <w:lvlText w:val="%2."/>
      <w:lvlJc w:val="left"/>
      <w:pPr>
        <w:ind w:left="1440" w:hanging="360"/>
      </w:pPr>
    </w:lvl>
    <w:lvl w:ilvl="2" w:tplc="4978F348" w:tentative="1">
      <w:start w:val="1"/>
      <w:numFmt w:val="lowerRoman"/>
      <w:lvlText w:val="%3."/>
      <w:lvlJc w:val="right"/>
      <w:pPr>
        <w:ind w:left="2160" w:hanging="180"/>
      </w:pPr>
    </w:lvl>
    <w:lvl w:ilvl="3" w:tplc="D6F2C116" w:tentative="1">
      <w:start w:val="1"/>
      <w:numFmt w:val="decimal"/>
      <w:lvlText w:val="%4."/>
      <w:lvlJc w:val="left"/>
      <w:pPr>
        <w:ind w:left="2880" w:hanging="360"/>
      </w:pPr>
    </w:lvl>
    <w:lvl w:ilvl="4" w:tplc="F73E8B96" w:tentative="1">
      <w:start w:val="1"/>
      <w:numFmt w:val="lowerLetter"/>
      <w:lvlText w:val="%5."/>
      <w:lvlJc w:val="left"/>
      <w:pPr>
        <w:ind w:left="3600" w:hanging="360"/>
      </w:pPr>
    </w:lvl>
    <w:lvl w:ilvl="5" w:tplc="75522F84" w:tentative="1">
      <w:start w:val="1"/>
      <w:numFmt w:val="lowerRoman"/>
      <w:lvlText w:val="%6."/>
      <w:lvlJc w:val="right"/>
      <w:pPr>
        <w:ind w:left="4320" w:hanging="180"/>
      </w:pPr>
    </w:lvl>
    <w:lvl w:ilvl="6" w:tplc="620CD04C" w:tentative="1">
      <w:start w:val="1"/>
      <w:numFmt w:val="decimal"/>
      <w:lvlText w:val="%7."/>
      <w:lvlJc w:val="left"/>
      <w:pPr>
        <w:ind w:left="5040" w:hanging="360"/>
      </w:pPr>
    </w:lvl>
    <w:lvl w:ilvl="7" w:tplc="B40CAB44" w:tentative="1">
      <w:start w:val="1"/>
      <w:numFmt w:val="lowerLetter"/>
      <w:lvlText w:val="%8."/>
      <w:lvlJc w:val="left"/>
      <w:pPr>
        <w:ind w:left="5760" w:hanging="360"/>
      </w:pPr>
    </w:lvl>
    <w:lvl w:ilvl="8" w:tplc="EE969CBA" w:tentative="1">
      <w:start w:val="1"/>
      <w:numFmt w:val="lowerRoman"/>
      <w:lvlText w:val="%9."/>
      <w:lvlJc w:val="right"/>
      <w:pPr>
        <w:ind w:left="6480" w:hanging="180"/>
      </w:pPr>
    </w:lvl>
  </w:abstractNum>
  <w:abstractNum w:abstractNumId="1">
    <w:nsid w:val="49796519"/>
    <w:multiLevelType w:val="hybridMultilevel"/>
    <w:tmpl w:val="5EA4464A"/>
    <w:lvl w:ilvl="0" w:tplc="597A3A64">
      <w:start w:val="1"/>
      <w:numFmt w:val="decimal"/>
      <w:lvlText w:val="%1."/>
      <w:lvlJc w:val="left"/>
      <w:pPr>
        <w:ind w:left="720" w:hanging="360"/>
      </w:pPr>
      <w:rPr>
        <w:rFonts w:hint="default"/>
      </w:rPr>
    </w:lvl>
    <w:lvl w:ilvl="1" w:tplc="99667A6C" w:tentative="1">
      <w:start w:val="1"/>
      <w:numFmt w:val="lowerLetter"/>
      <w:lvlText w:val="%2."/>
      <w:lvlJc w:val="left"/>
      <w:pPr>
        <w:ind w:left="1440" w:hanging="360"/>
      </w:pPr>
    </w:lvl>
    <w:lvl w:ilvl="2" w:tplc="182C9208" w:tentative="1">
      <w:start w:val="1"/>
      <w:numFmt w:val="lowerRoman"/>
      <w:lvlText w:val="%3."/>
      <w:lvlJc w:val="right"/>
      <w:pPr>
        <w:ind w:left="2160" w:hanging="180"/>
      </w:pPr>
    </w:lvl>
    <w:lvl w:ilvl="3" w:tplc="D3724A7A" w:tentative="1">
      <w:start w:val="1"/>
      <w:numFmt w:val="decimal"/>
      <w:lvlText w:val="%4."/>
      <w:lvlJc w:val="left"/>
      <w:pPr>
        <w:ind w:left="2880" w:hanging="360"/>
      </w:pPr>
    </w:lvl>
    <w:lvl w:ilvl="4" w:tplc="7932D550" w:tentative="1">
      <w:start w:val="1"/>
      <w:numFmt w:val="lowerLetter"/>
      <w:lvlText w:val="%5."/>
      <w:lvlJc w:val="left"/>
      <w:pPr>
        <w:ind w:left="3600" w:hanging="360"/>
      </w:pPr>
    </w:lvl>
    <w:lvl w:ilvl="5" w:tplc="101ECB06" w:tentative="1">
      <w:start w:val="1"/>
      <w:numFmt w:val="lowerRoman"/>
      <w:lvlText w:val="%6."/>
      <w:lvlJc w:val="right"/>
      <w:pPr>
        <w:ind w:left="4320" w:hanging="180"/>
      </w:pPr>
    </w:lvl>
    <w:lvl w:ilvl="6" w:tplc="3CC81394" w:tentative="1">
      <w:start w:val="1"/>
      <w:numFmt w:val="decimal"/>
      <w:lvlText w:val="%7."/>
      <w:lvlJc w:val="left"/>
      <w:pPr>
        <w:ind w:left="5040" w:hanging="360"/>
      </w:pPr>
    </w:lvl>
    <w:lvl w:ilvl="7" w:tplc="5EA8AA28" w:tentative="1">
      <w:start w:val="1"/>
      <w:numFmt w:val="lowerLetter"/>
      <w:lvlText w:val="%8."/>
      <w:lvlJc w:val="left"/>
      <w:pPr>
        <w:ind w:left="5760" w:hanging="360"/>
      </w:pPr>
    </w:lvl>
    <w:lvl w:ilvl="8" w:tplc="5A446C5E" w:tentative="1">
      <w:start w:val="1"/>
      <w:numFmt w:val="lowerRoman"/>
      <w:lvlText w:val="%9."/>
      <w:lvlJc w:val="right"/>
      <w:pPr>
        <w:ind w:left="6480" w:hanging="180"/>
      </w:pPr>
    </w:lvl>
  </w:abstractNum>
  <w:abstractNum w:abstractNumId="2">
    <w:nsid w:val="60BA02A3"/>
    <w:multiLevelType w:val="multilevel"/>
    <w:tmpl w:val="B9A0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45568A3"/>
    <w:multiLevelType w:val="hybridMultilevel"/>
    <w:tmpl w:val="96024852"/>
    <w:lvl w:ilvl="0" w:tplc="D8C8053C">
      <w:start w:val="1"/>
      <w:numFmt w:val="decimal"/>
      <w:lvlText w:val="%1."/>
      <w:lvlJc w:val="left"/>
      <w:pPr>
        <w:ind w:left="720" w:hanging="360"/>
      </w:pPr>
      <w:rPr>
        <w:rFonts w:hint="default"/>
      </w:rPr>
    </w:lvl>
    <w:lvl w:ilvl="1" w:tplc="2312BA50" w:tentative="1">
      <w:start w:val="1"/>
      <w:numFmt w:val="lowerLetter"/>
      <w:lvlText w:val="%2."/>
      <w:lvlJc w:val="left"/>
      <w:pPr>
        <w:ind w:left="1440" w:hanging="360"/>
      </w:pPr>
    </w:lvl>
    <w:lvl w:ilvl="2" w:tplc="22AC8A74" w:tentative="1">
      <w:start w:val="1"/>
      <w:numFmt w:val="lowerRoman"/>
      <w:lvlText w:val="%3."/>
      <w:lvlJc w:val="right"/>
      <w:pPr>
        <w:ind w:left="2160" w:hanging="180"/>
      </w:pPr>
    </w:lvl>
    <w:lvl w:ilvl="3" w:tplc="2458BABE" w:tentative="1">
      <w:start w:val="1"/>
      <w:numFmt w:val="decimal"/>
      <w:lvlText w:val="%4."/>
      <w:lvlJc w:val="left"/>
      <w:pPr>
        <w:ind w:left="2880" w:hanging="360"/>
      </w:pPr>
    </w:lvl>
    <w:lvl w:ilvl="4" w:tplc="B74ECDFE" w:tentative="1">
      <w:start w:val="1"/>
      <w:numFmt w:val="lowerLetter"/>
      <w:lvlText w:val="%5."/>
      <w:lvlJc w:val="left"/>
      <w:pPr>
        <w:ind w:left="3600" w:hanging="360"/>
      </w:pPr>
    </w:lvl>
    <w:lvl w:ilvl="5" w:tplc="058C1B3A" w:tentative="1">
      <w:start w:val="1"/>
      <w:numFmt w:val="lowerRoman"/>
      <w:lvlText w:val="%6."/>
      <w:lvlJc w:val="right"/>
      <w:pPr>
        <w:ind w:left="4320" w:hanging="180"/>
      </w:pPr>
    </w:lvl>
    <w:lvl w:ilvl="6" w:tplc="F1F84554" w:tentative="1">
      <w:start w:val="1"/>
      <w:numFmt w:val="decimal"/>
      <w:lvlText w:val="%7."/>
      <w:lvlJc w:val="left"/>
      <w:pPr>
        <w:ind w:left="5040" w:hanging="360"/>
      </w:pPr>
    </w:lvl>
    <w:lvl w:ilvl="7" w:tplc="F6B29E70" w:tentative="1">
      <w:start w:val="1"/>
      <w:numFmt w:val="lowerLetter"/>
      <w:lvlText w:val="%8."/>
      <w:lvlJc w:val="left"/>
      <w:pPr>
        <w:ind w:left="5760" w:hanging="360"/>
      </w:pPr>
    </w:lvl>
    <w:lvl w:ilvl="8" w:tplc="B6288A30" w:tentative="1">
      <w:start w:val="1"/>
      <w:numFmt w:val="lowerRoman"/>
      <w:lvlText w:val="%9."/>
      <w:lvlJc w:val="right"/>
      <w:pPr>
        <w:ind w:left="6480" w:hanging="180"/>
      </w:pPr>
    </w:lvl>
  </w:abstractNum>
  <w:abstractNum w:abstractNumId="4">
    <w:nsid w:val="69F404EE"/>
    <w:multiLevelType w:val="hybridMultilevel"/>
    <w:tmpl w:val="48D6A4B4"/>
    <w:lvl w:ilvl="0" w:tplc="D088A18E">
      <w:start w:val="1"/>
      <w:numFmt w:val="decimal"/>
      <w:lvlText w:val="%1."/>
      <w:lvlJc w:val="left"/>
      <w:pPr>
        <w:ind w:left="1080" w:hanging="360"/>
      </w:pPr>
      <w:rPr>
        <w:rFonts w:hint="default"/>
      </w:rPr>
    </w:lvl>
    <w:lvl w:ilvl="1" w:tplc="68B20BC2" w:tentative="1">
      <w:start w:val="1"/>
      <w:numFmt w:val="lowerLetter"/>
      <w:lvlText w:val="%2."/>
      <w:lvlJc w:val="left"/>
      <w:pPr>
        <w:ind w:left="1800" w:hanging="360"/>
      </w:pPr>
    </w:lvl>
    <w:lvl w:ilvl="2" w:tplc="6966F07E" w:tentative="1">
      <w:start w:val="1"/>
      <w:numFmt w:val="lowerRoman"/>
      <w:lvlText w:val="%3."/>
      <w:lvlJc w:val="right"/>
      <w:pPr>
        <w:ind w:left="2520" w:hanging="180"/>
      </w:pPr>
    </w:lvl>
    <w:lvl w:ilvl="3" w:tplc="BFB06004" w:tentative="1">
      <w:start w:val="1"/>
      <w:numFmt w:val="decimal"/>
      <w:lvlText w:val="%4."/>
      <w:lvlJc w:val="left"/>
      <w:pPr>
        <w:ind w:left="3240" w:hanging="360"/>
      </w:pPr>
    </w:lvl>
    <w:lvl w:ilvl="4" w:tplc="E3E6B1E2" w:tentative="1">
      <w:start w:val="1"/>
      <w:numFmt w:val="lowerLetter"/>
      <w:lvlText w:val="%5."/>
      <w:lvlJc w:val="left"/>
      <w:pPr>
        <w:ind w:left="3960" w:hanging="360"/>
      </w:pPr>
    </w:lvl>
    <w:lvl w:ilvl="5" w:tplc="DF2E8DF4" w:tentative="1">
      <w:start w:val="1"/>
      <w:numFmt w:val="lowerRoman"/>
      <w:lvlText w:val="%6."/>
      <w:lvlJc w:val="right"/>
      <w:pPr>
        <w:ind w:left="4680" w:hanging="180"/>
      </w:pPr>
    </w:lvl>
    <w:lvl w:ilvl="6" w:tplc="6C58E3EE" w:tentative="1">
      <w:start w:val="1"/>
      <w:numFmt w:val="decimal"/>
      <w:lvlText w:val="%7."/>
      <w:lvlJc w:val="left"/>
      <w:pPr>
        <w:ind w:left="5400" w:hanging="360"/>
      </w:pPr>
    </w:lvl>
    <w:lvl w:ilvl="7" w:tplc="D0083D14" w:tentative="1">
      <w:start w:val="1"/>
      <w:numFmt w:val="lowerLetter"/>
      <w:lvlText w:val="%8."/>
      <w:lvlJc w:val="left"/>
      <w:pPr>
        <w:ind w:left="6120" w:hanging="360"/>
      </w:pPr>
    </w:lvl>
    <w:lvl w:ilvl="8" w:tplc="838042F8" w:tentative="1">
      <w:start w:val="1"/>
      <w:numFmt w:val="lowerRoman"/>
      <w:lvlText w:val="%9."/>
      <w:lvlJc w:val="right"/>
      <w:pPr>
        <w:ind w:left="6840" w:hanging="180"/>
      </w:pPr>
    </w:lvl>
  </w:abstractNum>
  <w:abstractNum w:abstractNumId="5">
    <w:nsid w:val="7CCE3E64"/>
    <w:multiLevelType w:val="multilevel"/>
    <w:tmpl w:val="8D685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2"/>
  </w:num>
  <w:num w:numId="4">
    <w:abstractNumId w:val="0"/>
  </w:num>
  <w:num w:numId="5">
    <w:abstractNumId w:val="5"/>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00EC1"/>
    <w:rsid w:val="00043935"/>
    <w:rsid w:val="000445EF"/>
    <w:rsid w:val="00044625"/>
    <w:rsid w:val="00063531"/>
    <w:rsid w:val="00084A2A"/>
    <w:rsid w:val="000F6DE4"/>
    <w:rsid w:val="0010656B"/>
    <w:rsid w:val="00123B5F"/>
    <w:rsid w:val="001547E1"/>
    <w:rsid w:val="00166D77"/>
    <w:rsid w:val="001762DB"/>
    <w:rsid w:val="00196F38"/>
    <w:rsid w:val="001A0C0F"/>
    <w:rsid w:val="001C5B88"/>
    <w:rsid w:val="001E508E"/>
    <w:rsid w:val="001F6BF2"/>
    <w:rsid w:val="002003D9"/>
    <w:rsid w:val="002265EB"/>
    <w:rsid w:val="00233851"/>
    <w:rsid w:val="00236F24"/>
    <w:rsid w:val="00263281"/>
    <w:rsid w:val="0027200A"/>
    <w:rsid w:val="0027707E"/>
    <w:rsid w:val="00295B21"/>
    <w:rsid w:val="002A296F"/>
    <w:rsid w:val="002A6774"/>
    <w:rsid w:val="002B37DD"/>
    <w:rsid w:val="002B78EE"/>
    <w:rsid w:val="002C4F65"/>
    <w:rsid w:val="00301A99"/>
    <w:rsid w:val="003268F2"/>
    <w:rsid w:val="003274B9"/>
    <w:rsid w:val="00330007"/>
    <w:rsid w:val="003426C3"/>
    <w:rsid w:val="00342BFD"/>
    <w:rsid w:val="003444D3"/>
    <w:rsid w:val="00345994"/>
    <w:rsid w:val="003A3E84"/>
    <w:rsid w:val="003D715A"/>
    <w:rsid w:val="003E14CF"/>
    <w:rsid w:val="003E4570"/>
    <w:rsid w:val="00427CBC"/>
    <w:rsid w:val="00446EB6"/>
    <w:rsid w:val="004873A6"/>
    <w:rsid w:val="004A3920"/>
    <w:rsid w:val="004B11D0"/>
    <w:rsid w:val="004B308F"/>
    <w:rsid w:val="004E6C24"/>
    <w:rsid w:val="004F38A3"/>
    <w:rsid w:val="00511D7D"/>
    <w:rsid w:val="00533FDE"/>
    <w:rsid w:val="005408B3"/>
    <w:rsid w:val="00541D31"/>
    <w:rsid w:val="00546151"/>
    <w:rsid w:val="00547703"/>
    <w:rsid w:val="00565259"/>
    <w:rsid w:val="0057434A"/>
    <w:rsid w:val="005864DD"/>
    <w:rsid w:val="0059419E"/>
    <w:rsid w:val="005956D5"/>
    <w:rsid w:val="005A4EC0"/>
    <w:rsid w:val="005C0ACE"/>
    <w:rsid w:val="005C7FFC"/>
    <w:rsid w:val="005D3D82"/>
    <w:rsid w:val="0064209B"/>
    <w:rsid w:val="00644BA6"/>
    <w:rsid w:val="006545F4"/>
    <w:rsid w:val="00676560"/>
    <w:rsid w:val="006A7B36"/>
    <w:rsid w:val="006B6CA1"/>
    <w:rsid w:val="006B7C96"/>
    <w:rsid w:val="006D357D"/>
    <w:rsid w:val="006E21EF"/>
    <w:rsid w:val="006E3921"/>
    <w:rsid w:val="007151C1"/>
    <w:rsid w:val="00715FA9"/>
    <w:rsid w:val="007309C3"/>
    <w:rsid w:val="0075629D"/>
    <w:rsid w:val="007962D1"/>
    <w:rsid w:val="007C3A46"/>
    <w:rsid w:val="007C6157"/>
    <w:rsid w:val="007D5A75"/>
    <w:rsid w:val="007E6731"/>
    <w:rsid w:val="008015E0"/>
    <w:rsid w:val="008132C1"/>
    <w:rsid w:val="008154AE"/>
    <w:rsid w:val="0084308D"/>
    <w:rsid w:val="00860CF8"/>
    <w:rsid w:val="00863967"/>
    <w:rsid w:val="00884EE5"/>
    <w:rsid w:val="008D04DA"/>
    <w:rsid w:val="008F046B"/>
    <w:rsid w:val="008F379C"/>
    <w:rsid w:val="00900D57"/>
    <w:rsid w:val="00933CCA"/>
    <w:rsid w:val="00944332"/>
    <w:rsid w:val="00945779"/>
    <w:rsid w:val="009714D3"/>
    <w:rsid w:val="00974DE8"/>
    <w:rsid w:val="00997AAC"/>
    <w:rsid w:val="009C3569"/>
    <w:rsid w:val="009C5441"/>
    <w:rsid w:val="00A022BF"/>
    <w:rsid w:val="00A223E6"/>
    <w:rsid w:val="00A24FEC"/>
    <w:rsid w:val="00A34286"/>
    <w:rsid w:val="00A63C62"/>
    <w:rsid w:val="00A70CA7"/>
    <w:rsid w:val="00A74FDA"/>
    <w:rsid w:val="00A817A8"/>
    <w:rsid w:val="00AA7832"/>
    <w:rsid w:val="00AB07E8"/>
    <w:rsid w:val="00AC5DC1"/>
    <w:rsid w:val="00AC6A83"/>
    <w:rsid w:val="00B34C98"/>
    <w:rsid w:val="00B3668D"/>
    <w:rsid w:val="00B540BA"/>
    <w:rsid w:val="00B614E5"/>
    <w:rsid w:val="00B77331"/>
    <w:rsid w:val="00B85F5D"/>
    <w:rsid w:val="00B93D95"/>
    <w:rsid w:val="00BD69B8"/>
    <w:rsid w:val="00BF291B"/>
    <w:rsid w:val="00C0000F"/>
    <w:rsid w:val="00C06567"/>
    <w:rsid w:val="00C203EA"/>
    <w:rsid w:val="00C31A35"/>
    <w:rsid w:val="00C47D75"/>
    <w:rsid w:val="00C71CAD"/>
    <w:rsid w:val="00C81D41"/>
    <w:rsid w:val="00C91CD5"/>
    <w:rsid w:val="00CA5751"/>
    <w:rsid w:val="00D3149F"/>
    <w:rsid w:val="00D31FCE"/>
    <w:rsid w:val="00D55282"/>
    <w:rsid w:val="00D67432"/>
    <w:rsid w:val="00D72A87"/>
    <w:rsid w:val="00D7461E"/>
    <w:rsid w:val="00D8624C"/>
    <w:rsid w:val="00D90BD8"/>
    <w:rsid w:val="00DA275A"/>
    <w:rsid w:val="00DA5F40"/>
    <w:rsid w:val="00DB518B"/>
    <w:rsid w:val="00DB5406"/>
    <w:rsid w:val="00DD0A3B"/>
    <w:rsid w:val="00DD4C68"/>
    <w:rsid w:val="00E01587"/>
    <w:rsid w:val="00E041DE"/>
    <w:rsid w:val="00E10057"/>
    <w:rsid w:val="00E5375B"/>
    <w:rsid w:val="00E65170"/>
    <w:rsid w:val="00E7115A"/>
    <w:rsid w:val="00E81B2E"/>
    <w:rsid w:val="00E83D63"/>
    <w:rsid w:val="00E90187"/>
    <w:rsid w:val="00EA7B24"/>
    <w:rsid w:val="00EC607F"/>
    <w:rsid w:val="00ED484D"/>
    <w:rsid w:val="00EF7BED"/>
    <w:rsid w:val="00F4153C"/>
    <w:rsid w:val="00F90D8A"/>
    <w:rsid w:val="00FB45B4"/>
    <w:rsid w:val="00FB59FB"/>
    <w:rsid w:val="00FC5A8D"/>
    <w:rsid w:val="00FC6B77"/>
    <w:rsid w:val="00FD59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Spacing">
    <w:name w:val="No Spacing"/>
    <w:uiPriority w:val="1"/>
    <w:qFormat/>
    <w:rsid w:val="00945779"/>
    <w:pPr>
      <w:spacing w:after="0" w:line="240" w:lineRule="auto"/>
    </w:pPr>
  </w:style>
  <w:style w:type="paragraph" w:styleId="NormalWeb">
    <w:name w:val="Normal (Web)"/>
    <w:basedOn w:val="Normal"/>
    <w:uiPriority w:val="99"/>
    <w:unhideWhenUsed/>
    <w:rsid w:val="000439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C0ACE"/>
    <w:pPr>
      <w:ind w:left="720"/>
      <w:contextualSpacing/>
    </w:pPr>
  </w:style>
  <w:style w:type="paragraph" w:styleId="BalloonText">
    <w:name w:val="Balloon Text"/>
    <w:basedOn w:val="Normal"/>
    <w:link w:val="BalloonTextChar"/>
    <w:uiPriority w:val="99"/>
    <w:semiHidden/>
    <w:unhideWhenUsed/>
    <w:rsid w:val="00000E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0EC1"/>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424FD6-4F37-4122-B923-D0698985C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1757</Words>
  <Characters>10019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3</cp:revision>
  <dcterms:created xsi:type="dcterms:W3CDTF">2019-04-23T03:15:00Z</dcterms:created>
  <dcterms:modified xsi:type="dcterms:W3CDTF">2019-04-23T03:32:00Z</dcterms:modified>
</cp:coreProperties>
</file>